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8A37F2">
        <w:rPr>
          <w:rFonts w:ascii="Segoe UI" w:eastAsia="新細明體" w:hAnsi="Segoe UI" w:cs="Segoe UI"/>
          <w:b/>
          <w:bCs/>
          <w:color w:val="000000"/>
          <w:kern w:val="0"/>
          <w:sz w:val="60"/>
          <w:szCs w:val="60"/>
        </w:rPr>
        <w:t>南非</w:t>
      </w:r>
      <w:proofErr w:type="gramStart"/>
      <w:r w:rsidRPr="008A37F2">
        <w:rPr>
          <w:rFonts w:ascii="Segoe UI" w:eastAsia="新細明體" w:hAnsi="Segoe UI" w:cs="Segoe UI"/>
          <w:b/>
          <w:bCs/>
          <w:color w:val="000000"/>
          <w:kern w:val="0"/>
          <w:sz w:val="60"/>
          <w:szCs w:val="60"/>
        </w:rPr>
        <w:t>塑</w:t>
      </w:r>
      <w:proofErr w:type="gramEnd"/>
      <w:r w:rsidRPr="008A37F2">
        <w:rPr>
          <w:rFonts w:ascii="Segoe UI" w:eastAsia="新細明體" w:hAnsi="Segoe UI" w:cs="Segoe UI"/>
          <w:b/>
          <w:bCs/>
          <w:color w:val="000000"/>
          <w:kern w:val="0"/>
          <w:sz w:val="60"/>
          <w:szCs w:val="60"/>
        </w:rPr>
        <w:t>橡膠市場</w:t>
      </w:r>
      <w:r w:rsidRPr="008A37F2">
        <w:rPr>
          <w:rFonts w:ascii="Segoe UI" w:eastAsia="新細明體" w:hAnsi="Segoe UI" w:cs="Segoe UI"/>
          <w:b/>
          <w:bCs/>
          <w:color w:val="000000"/>
          <w:kern w:val="0"/>
          <w:sz w:val="60"/>
          <w:szCs w:val="60"/>
        </w:rPr>
        <w:t xml:space="preserve"> </w:t>
      </w:r>
      <w:r w:rsidRPr="008A37F2">
        <w:rPr>
          <w:rFonts w:ascii="Segoe UI" w:eastAsia="新細明體" w:hAnsi="Segoe UI" w:cs="Segoe UI"/>
          <w:b/>
          <w:bCs/>
          <w:color w:val="000000"/>
          <w:kern w:val="0"/>
          <w:sz w:val="60"/>
          <w:szCs w:val="60"/>
        </w:rPr>
        <w:t>穩定樂觀</w:t>
      </w:r>
      <w:r w:rsidRPr="008A37F2">
        <w:rPr>
          <w:rFonts w:ascii="Segoe UI" w:eastAsia="新細明體" w:hAnsi="Segoe UI" w:cs="Segoe UI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0546423D" wp14:editId="6E21AC9F">
                <wp:extent cx="257175" cy="257175"/>
                <wp:effectExtent l="0" t="0" r="0" b="0"/>
                <wp:docPr id="4" name="AutoShape 1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DB019" id="AutoShape 1" o:spid="_x0000_s1026" alt="Facebook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iEuwIAAMgFAAAOAAAAZHJzL2Uyb0RvYy54bWysVNtu2zAMfR+wfxD07voy5WKjTtHF8TCg&#10;2wp0+wBFlmOhtuRJSpxu2L+PkpM0aV+GbX4wJFI6PCSPeH2z71q049oIJXMcX0UYcclUJeQmx9++&#10;lsEcI2OprGirJM/xEzf4ZvH2zfXQZzxRjWorrhGASJMNfY4ba/ssDA1reEfNleq5BGetdEctbPUm&#10;rDQdAL1rwySKpuGgdNVrxbgxYC1GJ154/LrmzH6pa8MtanMM3Kz/a/9fu3+4uKbZRtO+EexAg/4F&#10;i44KCUFPUAW1FG21eAXVCaaVUbW9YqoLVV0Lxn0OkE0cvcjmoaE997lAcUx/KpP5f7Ds8+5eI1Hl&#10;mGAkaQctut1a5SOjGKOKGwblKinja6UeXb2G3mRw7aG/1y5j098p9miQVMuGyg2/NT1UHbQAeEeT&#10;1mpoOK2AeOwgwgsMtzGAhtbDJ1UBAwoMfDX3te5cDKgT2vumPZ2axvcWMTAmk1k8m2DEwHVYuwg0&#10;O17utbEfuOqQW+RYAzsPTnd3xo5Hj0dcLKlK0bZgp1krLwyAOVogNFx1PkfCt/lnGqWr+WpOApJM&#10;VwGJiiK4LZckmJbArnhXLJdF/MvFjUnWiKri0oU5Si4mf9bSg/hHsZxEZ1QrKgfnKBm9WS9bjXYU&#10;JF/6z5ccPM/Hwksavl6Qy4uU4oRE75M0KKfzWUBKMgnSWTQPojh9n04jkpKivEzpTkj+7ymhIcfp&#10;JJn4Lp2RfpFb5L/XudGsExaGSiu6HM9Ph2jmFLiSlW+tpaId12elcPSfSwHtPjba69VJdFT/WlVP&#10;IFetQE4wVGD8waJR+gdGA4ySHJvvW6o5Ru1HCZJPY0Lc7PEbMpklsNHnnvW5h0oGUDm2GI3LpR3n&#10;1bbXYtNApNgXRir3UGvhJeye0Mjq8LhgXPhMDqPNzaPzvT/1PIAXvwEAAP//AwBQSwMEFAAGAAgA&#10;AAAhAKhj2o3ZAAAAAwEAAA8AAABkcnMvZG93bnJldi54bWxMj0FLw0AQhe+C/2EZwYu0G0VFYjZF&#10;CmIRoZjanqfZMQlmZ9PsNon/3lEPepnH8Ib3vskWk2vVQH1oPBu4nCegiEtvG64MvG0eZ3egQkS2&#10;2HomA58UYJGfnmSYWj/yKw1FrJSEcEjRQB1jl2odypochrnviMV7973DKGtfadvjKOGu1VdJcqsd&#10;NiwNNXa0rKn8KI7OwFiuh93m5UmvL3Yrz4fVYVlsn405P5se7kFFmuLfMXzjCzrkwrT3R7ZBtQbk&#10;kfgzxbtObkDtf1Xnmf7Pnn8BAAD//wMAUEsBAi0AFAAGAAgAAAAhALaDOJL+AAAA4QEAABMAAAAA&#10;AAAAAAAAAAAAAAAAAFtDb250ZW50X1R5cGVzXS54bWxQSwECLQAUAAYACAAAACEAOP0h/9YAAACU&#10;AQAACwAAAAAAAAAAAAAAAAAvAQAAX3JlbHMvLnJlbHNQSwECLQAUAAYACAAAACEAA5I4hLsCAADI&#10;BQAADgAAAAAAAAAAAAAAAAAuAgAAZHJzL2Uyb0RvYy54bWxQSwECLQAUAAYACAAAACEAqGPaj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8A37F2">
        <w:rPr>
          <w:rFonts w:ascii="Segoe UI" w:eastAsia="新細明體" w:hAnsi="Segoe UI" w:cs="Segoe UI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7367E437" wp14:editId="6CF6D395">
                <wp:extent cx="257175" cy="257175"/>
                <wp:effectExtent l="0" t="0" r="0" b="0"/>
                <wp:docPr id="3" name="AutoShape 2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7095F" id="AutoShape 2" o:spid="_x0000_s1026" alt="Twitter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tfugIAAMcFAAAOAAAAZHJzL2Uyb0RvYy54bWysVNtu2zAMfR+wfxD07vpS5WKjTtHG8TCg&#10;2wq0+wDFkmNhtuRJStxu2L+PkpM0aV+GbX4wJFI6PCSPeHX91LVox7URSuY4vogw4rJSTMhNjr8+&#10;lsEcI2OpZLRVkuf4mRt8vXj/7mroM56oRrWMawQg0mRDn+PG2j4LQ1M1vKPmQvVcgrNWuqMWtnoT&#10;Mk0HQO/aMImiaTgozXqtKm4MWIvRiRcev655Zb/UteEWtTkGbtb/tf+v3T9cXNFso2nfiGpPg/4F&#10;i44KCUGPUAW1FG21eAPViUoro2p7UakuVHUtKu5zgGzi6FU2Dw3tuc8FimP6Y5nM/4OtPu/uNRIs&#10;x5cYSdpBi262VvnIKMGIcVNBuR4HYS3XrlxDbzK49dDfa5ew6e9U9c0gqZYNlRt+Y3ooOkgB4A4m&#10;rdXQcMqAd+wgwjMMtzGAhtbDJ8WAAAUCvphPte5cDCgTevI9ez72jD9ZVIExmczi2QSjClz7tYtA&#10;s8PlXhv7gasOuUWONbDz4HR3Z+x49HDExZKqFG0Ldpq18swAmKMFQsNV53MkfJd/plG6mq/mJCDJ&#10;dBWQqCiCm3JJgmkJ7IrLYrks4l8ubkyyRjDGpQtzUFxM/qyje+2PWjlqzqhWMAfnKBm9WS9bjXYU&#10;FF/6z5ccPC/HwnMavl6Qy6uU4oREt0kalNP5LCAlmQTpLJoHUZzeptOIpKQoz1O6E5L/e0poyHE6&#10;SSa+SyekX+UW+e9tbjTrBEgVtaLL8fx4iGZOgSvJfGstFe24PimFo/9SCmj3odFer06io/rXij2D&#10;XLUCOcFMgekHi0bpHxgNMElybL5vqeYYtR8lSD6NCXGjx2/IZJbARp961qceKiuAyrHFaFwu7Tiu&#10;tr0WmwYixb4wUrl3WgsvYfeERlb7xwXTwmeyn2xuHJ3u/amX+bv4DQAA//8DAFBLAwQUAAYACAAA&#10;ACEAqGPajdkAAAADAQAADwAAAGRycy9kb3ducmV2LnhtbEyPQUvDQBCF74L/YRnBi7QbRUViNkUK&#10;YhGhmNqep9kxCWZn0+w2if/eUQ96mcfwhve+yRaTa9VAfWg8G7icJ6CIS28brgy8bR5nd6BCRLbY&#10;eiYDnxRgkZ+eZJhaP/IrDUWslIRwSNFAHWOXah3KmhyGue+IxXv3vcMoa19p2+Mo4a7VV0lyqx02&#10;LA01drSsqfwojs7AWK6H3eblSa8vdivPh9VhWWyfjTk/mx7uQUWa4t8xfOMLOuTCtPdHtkG1BuSR&#10;+DPFu05uQO1/VeeZ/s+efwEAAP//AwBQSwECLQAUAAYACAAAACEAtoM4kv4AAADhAQAAEwAAAAAA&#10;AAAAAAAAAAAAAAAAW0NvbnRlbnRfVHlwZXNdLnhtbFBLAQItABQABgAIAAAAIQA4/SH/1gAAAJQB&#10;AAALAAAAAAAAAAAAAAAAAC8BAABfcmVscy8ucmVsc1BLAQItABQABgAIAAAAIQCvLEtfugIAAMcF&#10;AAAOAAAAAAAAAAAAAAAAAC4CAABkcnMvZTJvRG9jLnhtbFBLAQItABQABgAIAAAAIQCoY9q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8A37F2">
        <w:rPr>
          <w:rFonts w:ascii="Segoe UI" w:eastAsia="新細明體" w:hAnsi="Segoe UI" w:cs="Segoe UI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73AB0BD0" wp14:editId="6D584EAD">
                <wp:extent cx="257175" cy="257175"/>
                <wp:effectExtent l="0" t="0" r="0" b="0"/>
                <wp:docPr id="2" name="AutoShape 3" descr="plu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B186D" id="AutoShape 3" o:spid="_x0000_s1026" alt="plurk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lYugIAAMUFAAAOAAAAZHJzL2Uyb0RvYy54bWysVNtu2zAMfR+wfxD07vpS52KjTtHG8TCg&#10;2wp0+wDFlmOhsqRJStxu2L+PkpM0aV+GbX4wJFI6PCSPeHX91HO0o9owKQocX0QYUVHLholNgb99&#10;rYI5RsYS0RAuBS3wMzX4evH+3dWgcprITvKGagQgwuSDKnBnrcrD0NQd7Ym5kIoKcLZS98TCVm/C&#10;RpMB0HseJlE0DQepG6VlTY0Bazk68cLjty2t7Ze2NdQiXmDgZv1f+//a/cPFFck3mqiO1Xsa5C9Y&#10;9IQJCHqEKoklaKvZG6ie1Voa2dqLWvahbFtWU58DZBNHr7J56IiiPhcojlHHMpn/B1t/3t1rxJoC&#10;JxgJ0kOLbrZW+sjoEqOGmhrKpfhWP7piDcrkcOdB3WuXrlF3sn40SMhlR8SG3hgFJQchANjBpLUc&#10;OkoaYB07iPAMw20MoKH18Ek2EJ5AeF/Kp1b3LgYUCT35jj0fO0afLKrBmExm8WyCUQ2u/dpFIPnh&#10;stLGfqCyR25RYA3sPDjZ3Rk7Hj0ccbGErBjnYCc5F2cGwBwtEBquOp8j4Xv8M4uy1Xw1T4M0ma6C&#10;NCrL4KZapsG0AnblZblclvEvFzdO8441DRUuzEFvcfpn/dwrf1TKUXFGctY4OEfJ6M16yTXaEdB7&#10;5T9fcvC8HAvPafh6QS6vUoqTNLpNsqCazmdBWqWTIJtF8yCKs9tsGqVZWlbnKd0xQf89JTQUOJsk&#10;E9+lE9Kvcov89zY3kvfMwkThrC/w/HiI5E6BK9H41lrC+Lg+KYWj/1IKaPeh0V6vTqKj+teyeQa5&#10;aglygokCsw8WndQ/MBpgjhTYfN8STTHiHwVIPovT1A0ev0knswQ2+tSzPvUQUQNUgS1G43Jpx2G1&#10;VZptOogU+8II6V5py7yE3RMaWe0fF8wKn8l+rrlhdLr3p16m7+I3AAAA//8DAFBLAwQUAAYACAAA&#10;ACEAqGPajdkAAAADAQAADwAAAGRycy9kb3ducmV2LnhtbEyPQUvDQBCF74L/YRnBi7QbRUViNkUK&#10;YhGhmNqep9kxCWZn0+w2if/eUQ96mcfwhve+yRaTa9VAfWg8G7icJ6CIS28brgy8bR5nd6BCRLbY&#10;eiYDnxRgkZ+eZJhaP/IrDUWslIRwSNFAHWOXah3KmhyGue+IxXv3vcMoa19p2+Mo4a7VV0lyqx02&#10;LA01drSsqfwojs7AWK6H3eblSa8vdivPh9VhWWyfjTk/mx7uQUWa4t8xfOMLOuTCtPdHtkG1BuSR&#10;+DPFu05uQO1/VeeZ/s+efwEAAP//AwBQSwECLQAUAAYACAAAACEAtoM4kv4AAADhAQAAEwAAAAAA&#10;AAAAAAAAAAAAAAAAW0NvbnRlbnRfVHlwZXNdLnhtbFBLAQItABQABgAIAAAAIQA4/SH/1gAAAJQB&#10;AAALAAAAAAAAAAAAAAAAAC8BAABfcmVscy8ucmVsc1BLAQItABQABgAIAAAAIQCMdAlYugIAAMUF&#10;AAAOAAAAAAAAAAAAAAAAAC4CAABkcnMvZTJvRG9jLnhtbFBLAQItABQABgAIAAAAIQCoY9qN2QAA&#10;AAMBAAAPAAAAAAAAAAAAAAAAABQ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Pr="008A37F2">
        <w:rPr>
          <w:rFonts w:ascii="Segoe UI" w:eastAsia="新細明體" w:hAnsi="Segoe UI" w:cs="Segoe UI"/>
          <w:noProof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03F111E5" wp14:editId="4531DBEB">
                <wp:extent cx="257175" cy="257175"/>
                <wp:effectExtent l="0" t="0" r="0" b="0"/>
                <wp:docPr id="1" name="AutoShape 4" descr="linked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F2113" id="AutoShape 4" o:spid="_x0000_s1026" alt="linkedin" style="width:20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AKuQIAAMgFAAAOAAAAZHJzL2Uyb0RvYy54bWysVNtu2zAMfR+wfxD07voy5WKjTtHF8TCg&#10;2wp0+wDFlmOhtqRJSpxu2L+PkpM0aV+GbX4wJFI6PCSPeH2z7zu0Y9pwKXIcX0UYMVHJmotNjr99&#10;LYM5RsZSUdNOCpbjJ2bwzeLtm+tBZSyRrexqphGACJMNKsettSoLQ1O1rKfmSiomwNlI3VMLW70J&#10;a00HQO+7MImiaThIXSstK2YMWIvRiRcev2lYZb80jWEWdTkGbtb/tf+v3T9cXNNso6lqeXWgQf+C&#10;RU+5gKAnqIJairaav4LqeaWlkY29qmQfyqbhFfM5QDZx9CKbh5Yq5nOB4hh1KpP5f7DV5929RryG&#10;3mEkaA8tut1a6SMjglHNTAXl6rh4ZNBUV69BmQyuPah77TI26k5WjwYJuWyp2LBbo6DqI97RpLUc&#10;WkZrIB47iPACw20MoKH18EnWwIACA1/NfaN7FwPqhPa+aU+nprG9RRUYk8ksnk0wqsB1WLsINDte&#10;VtrYD0z2yC1yrIGdB6e7O2PHo8cjLpaQJe86sNOsExcGwBwtEBquOp8j4dv8M43S1Xw1JwFJpquA&#10;REUR3JZLEkxLYFe8K5bLIv7l4sYka3ldM+HCHCUXkz9r6UH8o1hOojOy47WDc5SM3qyXnUY7CpIv&#10;/edLDp7nY+ElDV8vyOVFSnFCovdJGpTT+SwgJZkE6SyaB1Gcvk+nEUlJUV6mdMcF+/eU0JDjdJJM&#10;fJfOSL/ILfLf69xo1nMLQ6XjfY7np0M0cwpcidq31lLejeuzUjj6z6WAdh8b7fXqJDqqfy3rJ5Cr&#10;liAnGCow/mDRSv0DowFGSY7N9y3VDKPuowDJpzEhbvb4DZnMEtjoc8/63ENFBVA5thiNy6Ud59VW&#10;ab5pIVLsCyOke6gN9xJ2T2hkdXhcMC58JofR5ubR+d6feh7Ai98AAAD//wMAUEsDBBQABgAIAAAA&#10;IQCoY9qN2QAAAAMBAAAPAAAAZHJzL2Rvd25yZXYueG1sTI9BS8NAEIXvgv9hGcGLtBtFRWI2RQpi&#10;EaGY2p6n2TEJZmfT7DaJ/95RD3qZx/CG977JFpNr1UB9aDwbuJwnoIhLbxuuDLxtHmd3oEJEtth6&#10;JgOfFGCRn55kmFo/8isNRayUhHBI0UAdY5dqHcqaHIa574jFe/e9wyhrX2nb4yjhrtVXSXKrHTYs&#10;DTV2tKyp/CiOzsBYrofd5uVJry92K8+H1WFZbJ+NOT+bHu5BRZri3zF84ws65MK090e2QbUG5JH4&#10;M8W7Tm5A7X9V55n+z55/AQAA//8DAFBLAQItABQABgAIAAAAIQC2gziS/gAAAOEBAAATAAAAAAAA&#10;AAAAAAAAAAAAAABbQ29udGVudF9UeXBlc10ueG1sUEsBAi0AFAAGAAgAAAAhADj9If/WAAAAlAEA&#10;AAsAAAAAAAAAAAAAAAAALwEAAF9yZWxzLy5yZWxzUEsBAi0AFAAGAAgAAAAhAKLJgAq5AgAAyAUA&#10;AA4AAAAAAAAAAAAAAAAALgIAAGRycy9lMm9Eb2MueG1sUEsBAi0AFAAGAAgAAAAhAKhj2o3ZAAAA&#10;AwEAAA8AAAAAAAAAAAAAAAAAEw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8A37F2">
        <w:rPr>
          <w:rFonts w:ascii="Segoe UI" w:eastAsia="新細明體" w:hAnsi="Segoe UI" w:cs="Segoe UI"/>
          <w:color w:val="000000"/>
          <w:kern w:val="0"/>
          <w:sz w:val="27"/>
          <w:szCs w:val="27"/>
        </w:rPr>
        <w:t>來源</w:t>
      </w:r>
      <w:r w:rsidRPr="008A37F2">
        <w:rPr>
          <w:rFonts w:ascii="Segoe UI" w:eastAsia="新細明體" w:hAnsi="Segoe UI" w:cs="Segoe UI"/>
          <w:color w:val="000000"/>
          <w:kern w:val="0"/>
          <w:sz w:val="27"/>
          <w:szCs w:val="27"/>
        </w:rPr>
        <w:t>: TAITRA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8A37F2">
        <w:rPr>
          <w:rFonts w:ascii="Segoe UI" w:eastAsia="新細明體" w:hAnsi="Segoe UI" w:cs="Segoe UI"/>
          <w:color w:val="000000"/>
          <w:kern w:val="0"/>
          <w:sz w:val="27"/>
          <w:szCs w:val="27"/>
        </w:rPr>
        <w:t>February 22, 2022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27"/>
          <w:szCs w:val="27"/>
        </w:rPr>
      </w:pPr>
      <w:r w:rsidRPr="008A37F2">
        <w:rPr>
          <w:rFonts w:ascii="Segoe UI" w:eastAsia="新細明體" w:hAnsi="Segoe UI" w:cs="Segoe UI"/>
          <w:noProof/>
          <w:color w:val="000000"/>
          <w:kern w:val="0"/>
          <w:sz w:val="27"/>
          <w:szCs w:val="27"/>
        </w:rPr>
        <w:drawing>
          <wp:inline distT="0" distB="0" distL="0" distR="0" wp14:anchorId="52481DE3" wp14:editId="09AF74A7">
            <wp:extent cx="4572000" cy="3429000"/>
            <wp:effectExtent l="0" t="0" r="0" b="0"/>
            <wp:docPr id="5" name="圖片 5" descr="https://im01.itaiwantrade.com/06c1690f-baa7-4c83-8d94-bce035898821/6935953_%E5%A1%91%E6%A9%A1%E8%86%A0%E5%85%92%E7%AB%A5%E7%8E%A9%E5%85%B72s-11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1.itaiwantrade.com/06c1690f-baa7-4c83-8d94-bce035898821/6935953_%E5%A1%91%E6%A9%A1%E8%86%A0%E5%85%92%E7%AB%A5%E7%8E%A9%E5%85%B72s-1140x3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南非是全球前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大的經濟體，同時也是非洲大陸最發達的國家，但在全球金融風暴的影響下，南非的諸多產業也面臨了衰退的壓力。而南非的塑橡膠產業更是如此，其成長力道明顯的減緩，間接地也受到金融風暴的拖累。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雖然外在的經濟環境不如人意，但南非的塑橡膠產業在過去這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3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年來仍然呈現穩定成長，只是成長幅度已降至個位數字，同時也更加深了同業殺價競爭的窘境，在國內廠商及海外進口商的兩面夾殺下，艱難地求生存。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塑膠產業不大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產值微不足道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南非的塑膠產業相對其他的發展中國家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來說並不算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大，對比全球的消耗量及產能，南非塑膠產業的產值幾乎微不足道。近幾年對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PS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（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Polystyrene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聚苯乙烯塑膠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lastRenderedPageBreak/>
        <w:t>發泡）的需求更是一落千丈，導致南非基本上已停止了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PS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（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Polystyrene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聚苯乙烯塑膠發泡）的生產。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而南非塑膠產業所面對的挑戰，短期內只怕不易解決，唯有通過更龐大的投資來改善其資本機械的升級，增強產出效能，同時提升高科技塑膠產品的生產比例及提高售價，才能確保塑膠產業市場的蓬勃發展。但這些改善市場的前提是擴大投資，而這正是產業界裡最難以突破的挑戰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南非因地理環境的關係，離全球各大市場以及各大消費地點都相距遙遠，因而無法帶動其他上下遊產業的升級，甚或引進海外的發展基金。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南非塑膠產業主要的挑戰有以下三點：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一、上游原料價格的不穩定與南非幣進口匯率的不穩定，因而導致原料成本開銷的增加（不穩定的成本浮動）。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二、市場產能與需求不成正比，南非塑膠產業市場過於狹小，市場容易飽和。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三、客戶削價競爭的壓力。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產品需求低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市場拓展空間大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南非人對於塑膠類產品的需求相對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來說是相當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低的，每人每年平均只消耗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25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至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27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公斤，而歐美國家卻高達每人每年平均消耗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80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至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公斤。相對樂觀的分析，南非事實上仍有相當大的市場拓展空間。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根據諸多的分析報告顯示，塑膠產品在南非市場將會逐步穩定的成長空間，尤其當南非政府推出一系列的經濟刺激方案，包括公共（基礎）建設及社會平價房屋的建設，以及其他刺激民生消費的方案等。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然而塑膠產品早已融入現代人的生活，只要經濟保持穩定成長，隨著廣大中產階級生活素質的提升，消費者將持續擴大對一般消費品與奢侈品的購買及支出，而這類產品將會大量使用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橡膠原料，做為包裝容器及其製品。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塑膠產業在未來的幾年將會有不錯的成長空間，這不只是在南非市場，更多的是在其他周邊的非洲國家。隨著西方國家與中國大陸不斷地對非洲做策略性的投資與開發，光就西方國家預估，即有將近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億美元的資金投入，同時奈及利亞也將有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50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億美元能源基礎建設的投資。而這些源源不斷的投資與開發，將會促成塑膠製品產業在非洲更加蓬勃發展，並為該產業鏈中的諸多企業創造可觀的利潤。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南部非洲樂觀穩定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市場具潛力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隨著東西方國家不斷地對整個南部非洲做策略性的投資與開發，諸多的分析已顯示塑膠產品（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Polymer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）的原料商、製造商及進口商等，將會在不久的未來開始嘗到甜頭，而隨著南部非洲交通系統的不斷地投資與改善，將可提升非洲人的生活水準，使不同區域的族群與人民開始經濟上的交流，同時也催生一個未曾開發的全新市場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南部非洲的塑膠類產業將有一個穩定而樂觀的經濟展望，產品的技術提升與產品的差異性，將使塑膠產品逐漸替代非洲人的傳統生活用具，而便宜耐用的各類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橡膠類產品將遍布非洲每一個角落。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在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年南非與全球的貿易中，塑膠類產品項目（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HS CODE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前二碼為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39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）之總進口額為約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4.7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億美元，並一路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飆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升至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6.3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年成長率高達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14.95%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，可見金融風暴對南非塑膠產業的破壞力已相對減輕。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成長趨勢走揚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不可小覷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假設此一成長趨勢能繼續維持，未來南非市場的發展將不可小覷。按南非塑膠市場的主要進口來源為：中國大陸、德國、美國、沙烏地阿拉伯及泰國等，為其前五大進口供應來源國，台灣則排名第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8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位。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橡膠產品方面（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HS CODE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前二碼為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40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），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年南非總進口額為約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2.6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億美元，並一路增加至去年的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3.9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億美元。依統計來看，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年之成長率亦達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9%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，顯示南非對橡膠產品仍有強大的需求空間。按南非橡膠市場的主要進口來源為：中國大陸、美國、日本、德國與印尼，台灣則位居其進口排名第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18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位。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而在同一時期，南非塑膠類產品之出口也同步成長，從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億美元，提升至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2.9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億美元，年成長率更高達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13.8%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。南非主要的出口市場為：那米比亞、辛巴布威、中國大陸、巴西與奈及利亞。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此一統計顯示，南非在南部非洲國家中的工業地位及其經濟發展的領先位置，更是驗證了南非是非洲地區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橡膠產業的重要基地。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  <w:bdr w:val="none" w:sz="0" w:space="0" w:color="auto" w:frame="1"/>
        </w:rPr>
        <w:t>==========</w:t>
      </w: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  <w:bdr w:val="none" w:sz="0" w:space="0" w:color="auto" w:frame="1"/>
        </w:rPr>
        <w:t>分隔符號</w:t>
      </w: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  <w:bdr w:val="none" w:sz="0" w:space="0" w:color="auto" w:frame="1"/>
        </w:rPr>
        <w:t>==========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bookmarkStart w:id="0" w:name="_GoBack"/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產品出口持續成長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表現不錯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另外，南非在橡膠產品的出口也有不錯的表現，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2010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年總出口額為約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7,868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萬美元，並成長至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年的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1.3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億美元，而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2011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年的成長率亦有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5.50%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。按南非出口主要國家為：尚比亞、辛巴布威、德國、美國、剛果等。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由以上統計分析顯示，南非塑膠產品之進口有高達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15%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％的年成長率，且其出口方面也不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多讓，尤其以出口塑膠產品至周邊非洲國家亦有達</w:t>
      </w:r>
      <w:r w:rsidRPr="008A37F2">
        <w:rPr>
          <w:rFonts w:ascii="Calibri" w:eastAsia="新細明體" w:hAnsi="Calibri" w:cs="Calibri"/>
          <w:color w:val="000000"/>
          <w:kern w:val="0"/>
          <w:sz w:val="30"/>
          <w:szCs w:val="30"/>
          <w:bdr w:val="none" w:sz="0" w:space="0" w:color="auto" w:frame="1"/>
        </w:rPr>
        <w:t>13.8%</w:t>
      </w: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％的高年成長率幅度，充份顯示南非是新興市場中，台灣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橡膠業者不可遺漏的重要市場。</w:t>
      </w:r>
    </w:p>
    <w:bookmarkEnd w:id="0"/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拓銷南非市場</w:t>
      </w:r>
      <w:r w:rsidRPr="008A37F2">
        <w:rPr>
          <w:rFonts w:ascii="Calibri" w:eastAsia="新細明體" w:hAnsi="Calibri" w:cs="Calibri"/>
          <w:b/>
          <w:bCs/>
          <w:color w:val="000000"/>
          <w:kern w:val="0"/>
          <w:sz w:val="30"/>
          <w:szCs w:val="30"/>
          <w:bdr w:val="none" w:sz="0" w:space="0" w:color="auto" w:frame="1"/>
        </w:rPr>
        <w:t>  </w:t>
      </w:r>
      <w:r w:rsidRPr="008A37F2">
        <w:rPr>
          <w:rFonts w:ascii="新細明體" w:eastAsia="新細明體" w:hAnsi="新細明體" w:cs="Segoe UI" w:hint="eastAsia"/>
          <w:b/>
          <w:bCs/>
          <w:color w:val="000000"/>
          <w:kern w:val="0"/>
          <w:sz w:val="30"/>
          <w:szCs w:val="30"/>
          <w:bdr w:val="none" w:sz="0" w:space="0" w:color="auto" w:frame="1"/>
        </w:rPr>
        <w:t>在地化策略為宜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建議台灣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業者應對南非及整個南部非洲國家進行全面的市場研究與分析，而針對南非市場拓展的工作應持續不斷的進行。可先在南非設立一家子公司或小規模的業務部門，進而在平常的業務中不斷的學習，並熟悉南非市場。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Segoe UI" w:eastAsia="新細明體" w:hAnsi="Segoe UI" w:cs="Segoe UI"/>
          <w:color w:val="000000"/>
          <w:kern w:val="0"/>
          <w:sz w:val="30"/>
          <w:szCs w:val="30"/>
        </w:rPr>
        <w:t> </w:t>
      </w:r>
    </w:p>
    <w:p w:rsidR="008A37F2" w:rsidRPr="008A37F2" w:rsidRDefault="008A37F2" w:rsidP="008A37F2">
      <w:pPr>
        <w:widowControl/>
        <w:shd w:val="clear" w:color="auto" w:fill="FFFFFF"/>
        <w:rPr>
          <w:rFonts w:ascii="Segoe UI" w:eastAsia="新細明體" w:hAnsi="Segoe UI" w:cs="Segoe UI"/>
          <w:color w:val="000000"/>
          <w:kern w:val="0"/>
          <w:sz w:val="30"/>
          <w:szCs w:val="30"/>
        </w:rPr>
      </w:pPr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在推廣上應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採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與當地廠商策略聯盟的方式，因為南非的塑橡膠業者已在南非（及整個南部非洲）立足已久，借力使力地利用南非當地廠商的銷售平台，可為台灣</w:t>
      </w:r>
      <w:proofErr w:type="gramStart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塑</w:t>
      </w:r>
      <w:proofErr w:type="gramEnd"/>
      <w:r w:rsidRPr="008A37F2">
        <w:rPr>
          <w:rFonts w:ascii="新細明體" w:eastAsia="新細明體" w:hAnsi="新細明體" w:cs="Segoe UI" w:hint="eastAsia"/>
          <w:color w:val="000000"/>
          <w:kern w:val="0"/>
          <w:sz w:val="30"/>
          <w:szCs w:val="30"/>
          <w:bdr w:val="none" w:sz="0" w:space="0" w:color="auto" w:frame="1"/>
        </w:rPr>
        <w:t>橡膠業者降低市場開發成本，且以策略聯盟的合作方式進入南非市場，將更容易建立市場知名度及提高市場占有率。■</w:t>
      </w:r>
    </w:p>
    <w:p w:rsidR="008B6A64" w:rsidRDefault="008B6A64"/>
    <w:sectPr w:rsidR="008B6A64" w:rsidSect="008A37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F2"/>
    <w:rsid w:val="008A37F2"/>
    <w:rsid w:val="008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F58E-3932-4EF4-896D-C6A13986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000000"/>
            <w:right w:val="none" w:sz="0" w:space="0" w:color="auto"/>
          </w:divBdr>
          <w:divsChild>
            <w:div w:id="12708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88444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24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Tracy(張芸捷)</dc:creator>
  <cp:keywords/>
  <dc:description/>
  <cp:lastModifiedBy>Tracy(張芸捷)</cp:lastModifiedBy>
  <cp:revision>1</cp:revision>
  <dcterms:created xsi:type="dcterms:W3CDTF">2023-08-30T09:11:00Z</dcterms:created>
  <dcterms:modified xsi:type="dcterms:W3CDTF">2023-08-30T09:26:00Z</dcterms:modified>
</cp:coreProperties>
</file>